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F57A24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8"/>
          <w:highlight w:val="yellow"/>
        </w:rPr>
        <w:t>XXXX系统</w:t>
      </w:r>
      <w:r>
        <w:rPr>
          <w:rFonts w:hint="eastAsia" w:ascii="方正小标宋简体" w:hAnsi="方正小标宋简体" w:eastAsia="方正小标宋简体" w:cs="方正小标宋简体"/>
          <w:sz w:val="44"/>
          <w:szCs w:val="48"/>
        </w:rPr>
        <w:t>用户需求书</w:t>
      </w:r>
    </w:p>
    <w:p w14:paraId="50CF9C5D"/>
    <w:p w14:paraId="3F51D3BB">
      <w:pPr>
        <w:rPr>
          <w:rFonts w:hint="eastAsia"/>
          <w:sz w:val="24"/>
          <w:szCs w:val="24"/>
          <w:highlight w:val="yellow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>【标黄内容需要填写或者确认】</w:t>
      </w:r>
    </w:p>
    <w:p w14:paraId="7A8F30D2">
      <w:pPr>
        <w:rPr>
          <w:rFonts w:hint="eastAsia"/>
          <w:sz w:val="24"/>
          <w:szCs w:val="24"/>
          <w:highlight w:val="yellow"/>
          <w:lang w:val="en-US" w:eastAsia="zh-CN"/>
        </w:rPr>
      </w:pPr>
      <w:bookmarkStart w:id="0" w:name="_GoBack"/>
      <w:bookmarkEnd w:id="0"/>
    </w:p>
    <w:p w14:paraId="461249B2"/>
    <w:tbl>
      <w:tblPr>
        <w:tblStyle w:val="7"/>
        <w:tblW w:w="505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959"/>
        <w:gridCol w:w="6175"/>
        <w:gridCol w:w="733"/>
      </w:tblGrid>
      <w:tr w14:paraId="2B401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28" w:type="pct"/>
            <w:tcBorders>
              <w:bottom w:val="single" w:color="auto" w:sz="4" w:space="0"/>
            </w:tcBorders>
            <w:vAlign w:val="center"/>
          </w:tcPr>
          <w:p w14:paraId="56FC27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557" w:type="pct"/>
            <w:tcBorders>
              <w:bottom w:val="single" w:color="auto" w:sz="4" w:space="0"/>
            </w:tcBorders>
            <w:vAlign w:val="center"/>
          </w:tcPr>
          <w:p w14:paraId="16DC76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指标项</w:t>
            </w: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160142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功能要求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1D4D5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备注</w:t>
            </w:r>
          </w:p>
        </w:tc>
      </w:tr>
      <w:tr w14:paraId="7CEE6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restart"/>
            <w:vAlign w:val="center"/>
          </w:tcPr>
          <w:p w14:paraId="056E05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pct"/>
            <w:vMerge w:val="restart"/>
            <w:vAlign w:val="center"/>
          </w:tcPr>
          <w:p w14:paraId="4959030E">
            <w:pPr>
              <w:spacing w:line="360" w:lineRule="auto"/>
              <w:jc w:val="center"/>
              <w:outlineLvl w:val="0"/>
              <w:rPr>
                <w:rFonts w:hint="default" w:ascii="宋体" w:hAnsi="宋体" w:eastAsia="宋体" w:cs="宋体"/>
                <w:color w:val="00000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总体要求</w:t>
            </w: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0D20E6F8">
            <w:pPr>
              <w:numPr>
                <w:ilvl w:val="0"/>
                <w:numId w:val="0"/>
              </w:numPr>
              <w:spacing w:line="360" w:lineRule="auto"/>
              <w:rPr>
                <w:rFonts w:hint="eastAsia" w:cs="Times New Roman" w:asciiTheme="minorEastAsia" w:hAnsiTheme="minorEastAsia"/>
                <w:bCs/>
                <w:sz w:val="24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lang w:val="en-US" w:eastAsia="zh-CN"/>
              </w:rPr>
              <w:t xml:space="preserve">1. </w:t>
            </w:r>
            <w:r>
              <w:rPr>
                <w:rFonts w:hint="eastAsia" w:cs="Times New Roman" w:asciiTheme="minorEastAsia" w:hAnsiTheme="minorEastAsia"/>
                <w:bCs/>
                <w:sz w:val="24"/>
              </w:rPr>
              <w:t>系统升级后需保留原</w:t>
            </w:r>
            <w:r>
              <w:rPr>
                <w:rFonts w:hint="eastAsia" w:ascii="宋体" w:hAnsi="宋体" w:cs="宋体"/>
                <w:bCs/>
                <w:color w:val="FF0000"/>
                <w:sz w:val="24"/>
                <w:highlight w:val="yellow"/>
                <w:u w:val="single"/>
                <w:lang w:val="en-US" w:eastAsia="zh-CN"/>
              </w:rPr>
              <w:t xml:space="preserve"> (填写品牌与系统名称) </w:t>
            </w:r>
            <w:r>
              <w:rPr>
                <w:rFonts w:hint="eastAsia" w:cs="Times New Roman" w:asciiTheme="minorEastAsia" w:hAnsiTheme="minorEastAsia"/>
                <w:bCs/>
                <w:sz w:val="24"/>
              </w:rPr>
              <w:t>系统所有功能，且与新功能完全兼容。系统升级需实现无缝过渡，若升级导致</w:t>
            </w:r>
            <w:r>
              <w:rPr>
                <w:rFonts w:hint="eastAsia" w:ascii="宋体" w:hAnsi="宋体" w:eastAsia="宋体" w:cs="宋体"/>
                <w:bCs/>
                <w:color w:val="FF0000"/>
                <w:sz w:val="24"/>
                <w:highlight w:val="yellow"/>
                <w:lang w:val="en-US" w:eastAsia="zh-CN"/>
              </w:rPr>
              <w:t>XXX</w:t>
            </w: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业务</w:t>
            </w:r>
            <w:r>
              <w:rPr>
                <w:rFonts w:hint="eastAsia" w:cs="Times New Roman" w:asciiTheme="minorEastAsia" w:hAnsiTheme="minorEastAsia"/>
                <w:bCs/>
                <w:sz w:val="24"/>
              </w:rPr>
              <w:t>需要重新改造，产生的费用全部由</w:t>
            </w:r>
            <w:r>
              <w:rPr>
                <w:rFonts w:hint="eastAsia" w:cs="Times New Roman" w:asciiTheme="minorEastAsia" w:hAnsiTheme="minorEastAsia"/>
                <w:bCs/>
                <w:sz w:val="24"/>
                <w:lang w:eastAsia="zh-CN"/>
              </w:rPr>
              <w:t>供应商</w:t>
            </w:r>
            <w:r>
              <w:rPr>
                <w:rFonts w:hint="eastAsia" w:cs="Times New Roman" w:asciiTheme="minorEastAsia" w:hAnsiTheme="minorEastAsia"/>
                <w:bCs/>
                <w:sz w:val="24"/>
              </w:rPr>
              <w:t>承担。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yellow"/>
              </w:rPr>
              <w:t>【备注：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highlight w:val="yellow"/>
                <w:lang w:val="en-US" w:eastAsia="zh-CN"/>
              </w:rPr>
              <w:t>1.不是升级项目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yellow"/>
              </w:rPr>
              <w:t>可去掉此参数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highlight w:val="yellow"/>
                <w:lang w:val="en-US" w:eastAsia="zh-CN"/>
              </w:rPr>
              <w:t xml:space="preserve"> 2.升级项目需列明原有系统功能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yellow"/>
              </w:rPr>
              <w:t>】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5AB886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1A5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vAlign w:val="center"/>
          </w:tcPr>
          <w:p w14:paraId="2C72F0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23D7C373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6962F40C">
            <w:pPr>
              <w:numPr>
                <w:ilvl w:val="0"/>
                <w:numId w:val="0"/>
              </w:numPr>
              <w:spacing w:line="360" w:lineRule="auto"/>
              <w:rPr>
                <w:rFonts w:hint="default" w:eastAsia="宋体" w:cs="Times New Roman" w:asciiTheme="minorEastAsia" w:hAnsiTheme="minorEastAsia"/>
                <w:bCs/>
                <w:sz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bCs/>
                <w:sz w:val="24"/>
                <w:lang w:val="en-US" w:eastAsia="zh-CN"/>
              </w:rPr>
              <w:t xml:space="preserve">2. </w:t>
            </w:r>
            <w:r>
              <w:rPr>
                <w:rFonts w:hint="eastAsia" w:asciiTheme="minorEastAsia" w:hAnsiTheme="minorEastAsia" w:cstheme="minorEastAsia"/>
                <w:bCs/>
                <w:sz w:val="24"/>
              </w:rPr>
              <w:t>本项目为学校现有</w:t>
            </w:r>
            <w:r>
              <w:rPr>
                <w:rFonts w:hint="eastAsia" w:ascii="宋体" w:hAnsi="宋体" w:cs="宋体"/>
                <w:bCs/>
                <w:color w:val="FF0000"/>
                <w:sz w:val="24"/>
                <w:highlight w:val="yellow"/>
                <w:u w:val="single"/>
                <w:lang w:val="en-US" w:eastAsia="zh-CN"/>
              </w:rPr>
              <w:t xml:space="preserve"> (填写品牌与系统名称) </w:t>
            </w:r>
            <w:r>
              <w:rPr>
                <w:rFonts w:hint="eastAsia" w:asciiTheme="minorEastAsia" w:hAnsiTheme="minorEastAsia" w:cstheme="minorEastAsia"/>
                <w:bCs/>
                <w:sz w:val="24"/>
              </w:rPr>
              <w:t>系统的升级项目，</w:t>
            </w:r>
            <w:r>
              <w:rPr>
                <w:rFonts w:hint="eastAsia" w:asciiTheme="minorEastAsia" w:hAnsiTheme="minorEastAsia" w:cstheme="minorEastAsia"/>
                <w:bCs/>
                <w:sz w:val="24"/>
                <w:lang w:val="en-US" w:eastAsia="zh-CN"/>
              </w:rPr>
              <w:t>升级</w:t>
            </w:r>
            <w:r>
              <w:rPr>
                <w:rFonts w:hint="eastAsia" w:asciiTheme="minorEastAsia" w:hAnsiTheme="minorEastAsia" w:cstheme="minorEastAsia"/>
                <w:bCs/>
                <w:sz w:val="24"/>
              </w:rPr>
              <w:t>系统须全面继承现有系统的全部业务数据。涉及数据迁移、切换等操作，期间产生的费用由</w:t>
            </w:r>
            <w:r>
              <w:rPr>
                <w:rFonts w:hint="eastAsia" w:asciiTheme="minorEastAsia" w:hAnsiTheme="minorEastAsia" w:cstheme="minorEastAsia"/>
                <w:bCs/>
                <w:sz w:val="24"/>
                <w:lang w:val="en-US" w:eastAsia="zh-CN"/>
              </w:rPr>
              <w:t>供应韩国</w:t>
            </w:r>
            <w:r>
              <w:rPr>
                <w:rFonts w:hint="eastAsia" w:asciiTheme="minorEastAsia" w:hAnsiTheme="minorEastAsia" w:cstheme="minorEastAsia"/>
                <w:bCs/>
                <w:sz w:val="24"/>
              </w:rPr>
              <w:t>承担。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yellow"/>
              </w:rPr>
              <w:t>【备注：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highlight w:val="yellow"/>
                <w:lang w:val="en-US" w:eastAsia="zh-CN"/>
              </w:rPr>
              <w:t>1.不是升级项目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yellow"/>
              </w:rPr>
              <w:t>可去掉此参数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highlight w:val="yellow"/>
                <w:lang w:val="en-US" w:eastAsia="zh-CN"/>
              </w:rPr>
              <w:t xml:space="preserve"> 2.升级项目需列明原有系统功能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yellow"/>
              </w:rPr>
              <w:t>】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59B22A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6621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vAlign w:val="center"/>
          </w:tcPr>
          <w:p w14:paraId="3720F5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2F4A2F46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57DC9986">
            <w:pPr>
              <w:numPr>
                <w:ilvl w:val="-1"/>
                <w:numId w:val="0"/>
              </w:numPr>
              <w:tabs>
                <w:tab w:val="left" w:pos="425"/>
              </w:tabs>
              <w:spacing w:line="360" w:lineRule="auto"/>
              <w:contextualSpacing/>
              <w:jc w:val="left"/>
              <w:rPr>
                <w:rFonts w:hint="eastAsia" w:ascii="宋体" w:hAnsi="宋体" w:eastAsia="宋体" w:cs="宋体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sz w:val="24"/>
                <w:szCs w:val="24"/>
                <w:highlight w:val="none"/>
                <w:lang w:val="en-US" w:eastAsia="zh-CN"/>
              </w:rPr>
              <w:t xml:space="preserve">3.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要求系统采用</w:t>
            </w:r>
            <w:r>
              <w:rPr>
                <w:rFonts w:hint="eastAsia" w:ascii="宋体" w:hAnsi="宋体" w:cs="宋体"/>
                <w:sz w:val="24"/>
                <w:szCs w:val="24"/>
                <w:highlight w:val="yellow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技术开发，满足在openEuler、OpenAnolis、银河麒麟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统信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等操作系统上部署；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支持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达梦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人大金仓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高斯DB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OceanBase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MySQL等主流数据库；满足在Tomcat、东方通、宝兰德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金蝶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等中间件上运行；支持运行在X86、ARM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架构处理器的服务器上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59C701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71AE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vAlign w:val="center"/>
          </w:tcPr>
          <w:p w14:paraId="7B7ADD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65CFB0F3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top"/>
          </w:tcPr>
          <w:p w14:paraId="1471D711">
            <w:pPr>
              <w:numPr>
                <w:ilvl w:val="0"/>
                <w:numId w:val="1"/>
              </w:numPr>
              <w:tabs>
                <w:tab w:val="left" w:pos="425"/>
              </w:tabs>
              <w:spacing w:line="360" w:lineRule="auto"/>
              <w:contextualSpacing/>
              <w:jc w:val="left"/>
              <w:rPr>
                <w:rFonts w:hint="default" w:eastAsia="宋体" w:cs="Times New Roman" w:asciiTheme="minorEastAsia" w:hAnsi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系统PC端架构应采用纯B/S架构模式，不需安装客户端；移动端应支持主流移动操作系统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包括但不限于IOS、安卓客户端。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0D6A80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D21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vAlign w:val="center"/>
          </w:tcPr>
          <w:p w14:paraId="18AF4D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79E486EA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top"/>
          </w:tcPr>
          <w:p w14:paraId="59D62968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contextualSpacing/>
              <w:jc w:val="left"/>
              <w:rPr>
                <w:rFonts w:hint="eastAsia" w:cs="Times New Roman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统一信息标准。系统的设计和开发，需遵从学校统一的信息标准，标准中未定义的，按照标准制定办法参照国家标准、各种部颁标准补充定义。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65F5F3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9CDA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vAlign w:val="center"/>
          </w:tcPr>
          <w:p w14:paraId="17437F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11F14766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top"/>
          </w:tcPr>
          <w:p w14:paraId="3B81F53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contextualSpacing/>
              <w:jc w:val="left"/>
              <w:rPr>
                <w:rFonts w:hint="eastAsia" w:cs="Times New Roman" w:asciiTheme="minorEastAsia" w:hAnsiTheme="minorEastAsia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软件功能设计合理，符合业界通用规范和习惯用法，便于操作使用。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05B409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14A2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vAlign w:val="center"/>
          </w:tcPr>
          <w:p w14:paraId="6BCE9C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5D4F9EC3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top"/>
          </w:tcPr>
          <w:p w14:paraId="58AD6606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contextualSpacing/>
              <w:jc w:val="left"/>
              <w:rPr>
                <w:rFonts w:hint="eastAsia" w:cs="Times New Roman" w:asciiTheme="minorEastAsia" w:hAnsiTheme="minorEastAsia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厂家具有同类产品的软件著作权登记证书。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highlight w:val="yellow"/>
                <w:lang w:eastAsia="zh-CN"/>
              </w:rPr>
              <w:t>【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highlight w:val="yellow"/>
                <w:lang w:val="en-US" w:eastAsia="zh-CN"/>
              </w:rPr>
              <w:t>需确认能否提供此类证书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highlight w:val="yellow"/>
                <w:lang w:eastAsia="zh-CN"/>
              </w:rPr>
              <w:t>】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2E8750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EFD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vAlign w:val="center"/>
          </w:tcPr>
          <w:p w14:paraId="67B98C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209C0140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top"/>
          </w:tcPr>
          <w:p w14:paraId="781FF754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spacing w:line="360" w:lineRule="auto"/>
              <w:contextualSpacing/>
              <w:jc w:val="left"/>
              <w:rPr>
                <w:rFonts w:hint="eastAsia" w:cs="Times New Roman" w:asciiTheme="minorEastAsia" w:hAnsiTheme="minorEastAsia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指定项目经理，实施过程中未经招标方同意不得进行变更。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6242CB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645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vAlign w:val="center"/>
          </w:tcPr>
          <w:p w14:paraId="1AF04B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7A582CC9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top"/>
          </w:tcPr>
          <w:p w14:paraId="3AC62C57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spacing w:line="360" w:lineRule="auto"/>
              <w:contextualSpacing/>
              <w:jc w:val="left"/>
              <w:rPr>
                <w:rFonts w:hint="eastAsia" w:cs="Times New Roman" w:asciiTheme="minorEastAsia" w:hAnsiTheme="minorEastAsia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软件运行环境</w:t>
            </w:r>
            <w:r>
              <w:rPr>
                <w:rFonts w:hint="eastAsia" w:ascii="宋体" w:hAnsi="宋体" w:cs="宋体"/>
                <w:strike w:val="0"/>
                <w:color w:val="FF0000"/>
                <w:sz w:val="24"/>
                <w:szCs w:val="24"/>
                <w:highlight w:val="none"/>
                <w:lang w:val="en-US" w:eastAsia="zh-CN"/>
              </w:rPr>
              <w:t>实现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高可用部署。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354684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64F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vAlign w:val="center"/>
          </w:tcPr>
          <w:p w14:paraId="640E09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359007AF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top"/>
          </w:tcPr>
          <w:p w14:paraId="28B2F18C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spacing w:line="360" w:lineRule="auto"/>
              <w:contextualSpacing/>
              <w:jc w:val="left"/>
              <w:rPr>
                <w:rFonts w:hint="eastAsia" w:cs="Times New Roman" w:asciiTheme="minorEastAsia" w:hAnsiTheme="minorEastAsia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满足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none"/>
              </w:rPr>
              <w:t>管理端、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highlight w:val="none"/>
                <w:lang w:val="en-US" w:eastAsia="zh-CN"/>
              </w:rPr>
              <w:t>用户服务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none"/>
              </w:rPr>
              <w:t>端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highlight w:val="none"/>
                <w:lang w:val="en-US" w:eastAsia="zh-CN"/>
              </w:rPr>
              <w:t>移动端、API端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的应用服务器拆分，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满足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各端独立服务器进行部署并通过不同域名进行访问。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yellow"/>
              </w:rPr>
              <w:t>【备注：</w:t>
            </w:r>
            <w:r>
              <w:rPr>
                <w:rFonts w:hint="eastAsia" w:ascii="宋体" w:hAnsi="宋体" w:cs="宋体"/>
                <w:color w:val="FF0000"/>
                <w:sz w:val="24"/>
                <w:highlight w:val="yellow"/>
              </w:rPr>
              <w:t>需根据实际需求评估和调整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yellow"/>
              </w:rPr>
              <w:t>】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6C301F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51D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vAlign w:val="center"/>
          </w:tcPr>
          <w:p w14:paraId="1E0C21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43F52C8B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7C1A273F">
            <w:pPr>
              <w:numPr>
                <w:ilvl w:val="0"/>
                <w:numId w:val="1"/>
              </w:numPr>
              <w:spacing w:line="360" w:lineRule="auto"/>
              <w:rPr>
                <w:rFonts w:hint="eastAsia" w:cs="Times New Roman" w:asciiTheme="minorEastAsia" w:hAnsiTheme="minorEastAsia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满足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应用和数据库拆分，各自使用独立服务器部署。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0F2B95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714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vAlign w:val="center"/>
          </w:tcPr>
          <w:p w14:paraId="223524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0B1734F4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14DEC2E5">
            <w:pPr>
              <w:numPr>
                <w:ilvl w:val="-1"/>
                <w:numId w:val="0"/>
              </w:numPr>
              <w:spacing w:line="360" w:lineRule="auto"/>
              <w:rPr>
                <w:rFonts w:hint="eastAsia" w:cs="Times New Roman" w:asciiTheme="minorEastAsia" w:hAnsiTheme="minorEastAsia"/>
                <w:bCs/>
                <w:sz w:val="24"/>
              </w:rPr>
            </w:pPr>
            <w:r>
              <w:rPr>
                <w:rFonts w:hint="eastAsia" w:ascii="宋体" w:hAnsi="宋体" w:cs="宋体"/>
                <w:bCs w:val="0"/>
                <w:sz w:val="24"/>
                <w:szCs w:val="24"/>
                <w:highlight w:val="none"/>
                <w:lang w:val="en-US" w:eastAsia="zh-CN"/>
              </w:rPr>
              <w:t xml:space="preserve">12.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highlight w:val="none"/>
                <w:lang w:val="en-US" w:eastAsia="zh-CN"/>
              </w:rPr>
              <w:t>系统先部署在</w:t>
            </w:r>
            <w:r>
              <w:rPr>
                <w:rFonts w:hint="eastAsia" w:asciiTheme="minorEastAsia" w:hAnsiTheme="minorEastAsia" w:cstheme="minorEastAsia"/>
                <w:bCs/>
                <w:color w:val="FF0000"/>
                <w:sz w:val="24"/>
                <w:lang w:val="en-US" w:eastAsia="zh-CN"/>
              </w:rPr>
              <w:t>学校提供的非国产环境。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学校具备国产化运行环境后，需免费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配合学校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完成系统国产化适配和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改造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免费迁移数据和系统数据库切换服务。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3148A1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705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vAlign w:val="center"/>
          </w:tcPr>
          <w:p w14:paraId="0CEF5C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59EBF582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53F374B0">
            <w:pPr>
              <w:numPr>
                <w:ilvl w:val="-1"/>
                <w:numId w:val="0"/>
              </w:numPr>
              <w:spacing w:line="360" w:lineRule="auto"/>
              <w:rPr>
                <w:rFonts w:hint="eastAsia" w:cs="Times New Roman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lang w:val="en-US" w:eastAsia="zh-CN"/>
              </w:rPr>
              <w:t>13. 厂家需</w:t>
            </w:r>
            <w:r>
              <w:rPr>
                <w:rFonts w:hint="eastAsia" w:asciiTheme="minorEastAsia" w:hAnsiTheme="minorEastAsia" w:cstheme="minorEastAsia"/>
                <w:bCs/>
                <w:sz w:val="24"/>
              </w:rPr>
              <w:t>具有本地实施及维护技术力量。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25DA79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6897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vAlign w:val="center"/>
          </w:tcPr>
          <w:p w14:paraId="33902A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60A93C9F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56268756">
            <w:pPr>
              <w:numPr>
                <w:ilvl w:val="0"/>
                <w:numId w:val="2"/>
              </w:numPr>
              <w:spacing w:line="360" w:lineRule="auto"/>
              <w:rPr>
                <w:rFonts w:hint="eastAsia" w:cs="Times New Roman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FF0000"/>
                <w:sz w:val="24"/>
                <w:lang w:val="en-US" w:eastAsia="zh-CN"/>
              </w:rPr>
              <w:t>系统需支持一个用户多个身份（职务、岗位等），多个所属单位的场景。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24BF8A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D81F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restart"/>
            <w:vAlign w:val="center"/>
          </w:tcPr>
          <w:p w14:paraId="4E4222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557" w:type="pct"/>
            <w:vMerge w:val="restart"/>
            <w:vAlign w:val="center"/>
          </w:tcPr>
          <w:p w14:paraId="5C92882B"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  <w:t>模块1</w:t>
            </w: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0896EE5D">
            <w:pPr>
              <w:numPr>
                <w:ilvl w:val="0"/>
                <w:numId w:val="0"/>
              </w:numPr>
              <w:spacing w:line="360" w:lineRule="auto"/>
              <w:rPr>
                <w:rFonts w:hint="eastAsia" w:cs="Times New Roman" w:asciiTheme="minorEastAsia" w:hAnsiTheme="minorEastAsia"/>
                <w:bCs/>
                <w:sz w:val="24"/>
              </w:rPr>
            </w:pP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59C1C5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9A33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vAlign w:val="center"/>
          </w:tcPr>
          <w:p w14:paraId="326546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1CE5155C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3A6B6E40">
            <w:pPr>
              <w:numPr>
                <w:ilvl w:val="0"/>
                <w:numId w:val="0"/>
              </w:numPr>
              <w:spacing w:line="360" w:lineRule="auto"/>
              <w:rPr>
                <w:rFonts w:hint="eastAsia" w:cs="Times New Roman" w:asciiTheme="minorEastAsia" w:hAnsiTheme="minorEastAsia"/>
                <w:bCs/>
                <w:sz w:val="24"/>
              </w:rPr>
            </w:pP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006D83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7055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vAlign w:val="center"/>
          </w:tcPr>
          <w:p w14:paraId="289ADA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546623AE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7F1CF37F">
            <w:pPr>
              <w:numPr>
                <w:ilvl w:val="0"/>
                <w:numId w:val="0"/>
              </w:numPr>
              <w:spacing w:line="360" w:lineRule="auto"/>
              <w:rPr>
                <w:rFonts w:hint="eastAsia" w:cs="Times New Roman" w:asciiTheme="minorEastAsia" w:hAnsiTheme="minorEastAsia"/>
                <w:bCs/>
                <w:sz w:val="24"/>
              </w:rPr>
            </w:pP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7053CC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BFAC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tcBorders>
              <w:bottom w:val="single" w:color="auto" w:sz="4" w:space="0"/>
            </w:tcBorders>
            <w:vAlign w:val="center"/>
          </w:tcPr>
          <w:p w14:paraId="427146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tcBorders>
              <w:bottom w:val="single" w:color="auto" w:sz="4" w:space="0"/>
            </w:tcBorders>
            <w:vAlign w:val="center"/>
          </w:tcPr>
          <w:p w14:paraId="37CD5B30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6F70AFA1">
            <w:pPr>
              <w:numPr>
                <w:ilvl w:val="0"/>
                <w:numId w:val="0"/>
              </w:numPr>
              <w:spacing w:line="360" w:lineRule="auto"/>
              <w:rPr>
                <w:rFonts w:hint="eastAsia" w:cs="Times New Roman" w:asciiTheme="minorEastAsia" w:hAnsiTheme="minorEastAsia"/>
                <w:bCs/>
                <w:sz w:val="24"/>
              </w:rPr>
            </w:pP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220409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CC2D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restart"/>
            <w:vAlign w:val="center"/>
          </w:tcPr>
          <w:p w14:paraId="3A9C9D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557" w:type="pct"/>
            <w:vMerge w:val="restart"/>
            <w:vAlign w:val="center"/>
          </w:tcPr>
          <w:p w14:paraId="31AA038E">
            <w:pPr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  <w:t>模块</w:t>
            </w:r>
            <w:r>
              <w:rPr>
                <w:rFonts w:hint="eastAsia" w:ascii="宋体" w:hAnsi="宋体" w:cs="宋体"/>
                <w:color w:val="000000"/>
                <w:sz w:val="24"/>
                <w:highlight w:val="yellow"/>
                <w:lang w:val="en-US" w:eastAsia="zh-CN"/>
              </w:rPr>
              <w:t>2</w:t>
            </w: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0C9782DB">
            <w:pPr>
              <w:numPr>
                <w:ilvl w:val="0"/>
                <w:numId w:val="0"/>
              </w:numPr>
              <w:spacing w:line="360" w:lineRule="auto"/>
              <w:rPr>
                <w:rFonts w:hint="eastAsia" w:cs="Times New Roman" w:asciiTheme="minorEastAsia" w:hAnsiTheme="minorEastAsia"/>
                <w:bCs/>
                <w:sz w:val="24"/>
              </w:rPr>
            </w:pP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10DBFC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0F8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vAlign w:val="center"/>
          </w:tcPr>
          <w:p w14:paraId="129CF8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70115446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1AEF5CA2">
            <w:pPr>
              <w:numPr>
                <w:ilvl w:val="0"/>
                <w:numId w:val="0"/>
              </w:numPr>
              <w:spacing w:line="360" w:lineRule="auto"/>
              <w:rPr>
                <w:rFonts w:hint="eastAsia" w:cs="Times New Roman" w:asciiTheme="minorEastAsia" w:hAnsiTheme="minorEastAsia"/>
                <w:bCs/>
                <w:sz w:val="24"/>
              </w:rPr>
            </w:pP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5B6F7D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23A0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vAlign w:val="center"/>
          </w:tcPr>
          <w:p w14:paraId="67497D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7CD3D7A0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72C59F5D">
            <w:pPr>
              <w:numPr>
                <w:ilvl w:val="0"/>
                <w:numId w:val="0"/>
              </w:numPr>
              <w:spacing w:line="360" w:lineRule="auto"/>
              <w:rPr>
                <w:rFonts w:hint="eastAsia" w:cs="Times New Roman" w:asciiTheme="minorEastAsia" w:hAnsiTheme="minorEastAsia"/>
                <w:bCs/>
                <w:sz w:val="24"/>
              </w:rPr>
            </w:pP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70DD45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D716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tcBorders>
              <w:bottom w:val="single" w:color="auto" w:sz="4" w:space="0"/>
            </w:tcBorders>
            <w:vAlign w:val="center"/>
          </w:tcPr>
          <w:p w14:paraId="4DB505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tcBorders>
              <w:bottom w:val="single" w:color="auto" w:sz="4" w:space="0"/>
            </w:tcBorders>
            <w:vAlign w:val="center"/>
          </w:tcPr>
          <w:p w14:paraId="141C45CE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45A4F5B0">
            <w:pPr>
              <w:numPr>
                <w:ilvl w:val="0"/>
                <w:numId w:val="0"/>
              </w:numPr>
              <w:spacing w:line="360" w:lineRule="auto"/>
              <w:rPr>
                <w:rFonts w:hint="eastAsia" w:cs="Times New Roman" w:asciiTheme="minorEastAsia" w:hAnsiTheme="minorEastAsia"/>
                <w:bCs/>
                <w:sz w:val="24"/>
              </w:rPr>
            </w:pP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73531A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7C6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restart"/>
            <w:vAlign w:val="center"/>
          </w:tcPr>
          <w:p w14:paraId="69B358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557" w:type="pct"/>
            <w:vMerge w:val="restart"/>
            <w:vAlign w:val="center"/>
          </w:tcPr>
          <w:p w14:paraId="7731C479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  <w:t>模块</w:t>
            </w:r>
            <w:r>
              <w:rPr>
                <w:rFonts w:ascii="宋体" w:hAnsi="宋体" w:cs="宋体"/>
                <w:color w:val="000000"/>
                <w:sz w:val="24"/>
              </w:rPr>
              <w:t>…</w:t>
            </w: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065F8228">
            <w:pPr>
              <w:numPr>
                <w:ilvl w:val="0"/>
                <w:numId w:val="0"/>
              </w:numPr>
              <w:spacing w:line="360" w:lineRule="auto"/>
              <w:rPr>
                <w:rFonts w:hint="eastAsia" w:cs="Times New Roman" w:asciiTheme="minorEastAsia" w:hAnsiTheme="minorEastAsia"/>
                <w:bCs/>
                <w:sz w:val="24"/>
              </w:rPr>
            </w:pP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0D673A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DC6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vAlign w:val="center"/>
          </w:tcPr>
          <w:p w14:paraId="5E121D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763EEC8F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76CC4611">
            <w:pPr>
              <w:numPr>
                <w:ilvl w:val="0"/>
                <w:numId w:val="0"/>
              </w:numPr>
              <w:spacing w:line="360" w:lineRule="auto"/>
              <w:rPr>
                <w:rFonts w:hint="eastAsia" w:cs="Times New Roman" w:asciiTheme="minorEastAsia" w:hAnsiTheme="minorEastAsia"/>
                <w:bCs/>
                <w:sz w:val="24"/>
              </w:rPr>
            </w:pP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4BD428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6651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vAlign w:val="center"/>
          </w:tcPr>
          <w:p w14:paraId="0B86E5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0CF1D6B3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460B0BC4">
            <w:pPr>
              <w:numPr>
                <w:ilvl w:val="0"/>
                <w:numId w:val="0"/>
              </w:numPr>
              <w:spacing w:line="360" w:lineRule="auto"/>
              <w:rPr>
                <w:rFonts w:hint="eastAsia" w:cs="Times New Roman" w:asciiTheme="minorEastAsia" w:hAnsiTheme="minorEastAsia"/>
                <w:bCs/>
                <w:sz w:val="24"/>
              </w:rPr>
            </w:pP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601373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33F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vAlign w:val="center"/>
          </w:tcPr>
          <w:p w14:paraId="75EADD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0D12F779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30C7319E">
            <w:pPr>
              <w:numPr>
                <w:ilvl w:val="0"/>
                <w:numId w:val="0"/>
              </w:numPr>
              <w:spacing w:line="360" w:lineRule="auto"/>
              <w:rPr>
                <w:rFonts w:hint="eastAsia" w:cs="Times New Roman" w:asciiTheme="minorEastAsia" w:hAnsiTheme="minorEastAsia"/>
                <w:bCs/>
                <w:sz w:val="24"/>
              </w:rPr>
            </w:pP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3F5850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A2E5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428" w:type="pct"/>
            <w:vMerge w:val="continue"/>
            <w:tcBorders>
              <w:bottom w:val="single" w:color="auto" w:sz="4" w:space="0"/>
            </w:tcBorders>
            <w:vAlign w:val="center"/>
          </w:tcPr>
          <w:p w14:paraId="07F260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tcBorders>
              <w:bottom w:val="single" w:color="auto" w:sz="4" w:space="0"/>
            </w:tcBorders>
            <w:vAlign w:val="center"/>
          </w:tcPr>
          <w:p w14:paraId="6237576E">
            <w:pPr>
              <w:spacing w:line="360" w:lineRule="auto"/>
              <w:jc w:val="center"/>
              <w:outlineLvl w:val="0"/>
              <w:rPr>
                <w:rFonts w:hint="eastAsia" w:ascii="宋体" w:hAnsi="宋体" w:cs="宋体"/>
                <w:color w:val="000000"/>
                <w:sz w:val="24"/>
                <w:highlight w:val="yellow"/>
                <w:lang w:val="zh-CN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3FF16C32">
            <w:pPr>
              <w:numPr>
                <w:ilvl w:val="0"/>
                <w:numId w:val="0"/>
              </w:numPr>
              <w:spacing w:line="360" w:lineRule="auto"/>
              <w:rPr>
                <w:rFonts w:hint="eastAsia" w:cs="Times New Roman" w:asciiTheme="minorEastAsia" w:hAnsiTheme="minorEastAsia"/>
                <w:bCs/>
                <w:sz w:val="24"/>
              </w:rPr>
            </w:pP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5F60CF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A2CC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428" w:type="pct"/>
            <w:vMerge w:val="restart"/>
            <w:vAlign w:val="center"/>
          </w:tcPr>
          <w:p w14:paraId="5F19E0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pct"/>
            <w:vMerge w:val="restart"/>
            <w:vAlign w:val="center"/>
          </w:tcPr>
          <w:p w14:paraId="198F0A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数字校园系统集成</w:t>
            </w:r>
          </w:p>
        </w:tc>
        <w:tc>
          <w:tcPr>
            <w:tcW w:w="3588" w:type="pct"/>
            <w:tcBorders>
              <w:bottom w:val="single" w:color="auto" w:sz="4" w:space="0"/>
            </w:tcBorders>
          </w:tcPr>
          <w:p w14:paraId="23DDE23E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系统需要接入暨南大学统一认证平台（CAS），使用统一的JNUID、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口令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和身份标签。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053BB4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10D0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428" w:type="pct"/>
            <w:vMerge w:val="continue"/>
            <w:vAlign w:val="center"/>
          </w:tcPr>
          <w:p w14:paraId="488842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5515AE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</w:tcPr>
          <w:p w14:paraId="05A7D4B6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根据学校业务需求集成学校信息门户待办、提醒、公告、日程、推荐等。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551C5D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105C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428" w:type="pct"/>
            <w:vMerge w:val="continue"/>
            <w:vAlign w:val="center"/>
          </w:tcPr>
          <w:p w14:paraId="13CDED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74AAD0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</w:tcPr>
          <w:p w14:paraId="311B6A22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对接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XXX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系统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实现XXX功能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yellow"/>
              </w:rPr>
              <w:t>【备注：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highlight w:val="yellow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FF0000"/>
                <w:sz w:val="24"/>
                <w:highlight w:val="yellow"/>
              </w:rPr>
              <w:t>需根据实际需求评估和调整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yellow"/>
              </w:rPr>
              <w:t>，若无可去掉此参数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highlight w:val="yellow"/>
                <w:lang w:val="en-US" w:eastAsia="zh-CN"/>
              </w:rPr>
              <w:t xml:space="preserve"> 2.如有对接需求，需咨询源头系统能否开放对接，是否有对接费用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yellow"/>
              </w:rPr>
              <w:t>】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7B0065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4137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428" w:type="pct"/>
            <w:vMerge w:val="continue"/>
            <w:vAlign w:val="center"/>
          </w:tcPr>
          <w:p w14:paraId="4A81CF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0E8278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</w:tcPr>
          <w:p w14:paraId="336A9939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根据学校业务需求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与消息中心对接，实现短信、微信和邮件的发送。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yellow"/>
              </w:rPr>
              <w:t>【备注：</w:t>
            </w:r>
            <w:r>
              <w:rPr>
                <w:rFonts w:hint="eastAsia" w:ascii="宋体" w:hAnsi="宋体" w:cs="宋体"/>
                <w:color w:val="FF0000"/>
                <w:sz w:val="24"/>
                <w:highlight w:val="yellow"/>
              </w:rPr>
              <w:t>需根据实际需求评估和调整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yellow"/>
              </w:rPr>
              <w:t>，若无可去掉此参数】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1A5F74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294B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428" w:type="pct"/>
            <w:vMerge w:val="continue"/>
            <w:vAlign w:val="center"/>
          </w:tcPr>
          <w:p w14:paraId="7E77A3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6B9C51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</w:tcPr>
          <w:p w14:paraId="67B70BE8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能够通过学校服务号、企业微信访问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系统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服务。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42E11E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2AB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428" w:type="pct"/>
            <w:vMerge w:val="continue"/>
            <w:vAlign w:val="center"/>
          </w:tcPr>
          <w:p w14:paraId="71CAFC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4341DC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</w:tcPr>
          <w:p w14:paraId="14B64055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根据学校业务需求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集成学校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学校服务号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企业微信待办、提醒、公告、日程、推荐等。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4EEBA9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A4B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428" w:type="pct"/>
            <w:vMerge w:val="continue"/>
            <w:vAlign w:val="center"/>
          </w:tcPr>
          <w:p w14:paraId="65BA66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1815B8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</w:tcPr>
          <w:p w14:paraId="286760FF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 w:val="0"/>
                <w:sz w:val="24"/>
                <w:szCs w:val="24"/>
                <w:highlight w:val="none"/>
              </w:rPr>
              <w:t>向学校数据中</w:t>
            </w:r>
            <w:r>
              <w:rPr>
                <w:rFonts w:hint="eastAsia" w:ascii="宋体" w:hAnsi="宋体" w:cs="宋体"/>
                <w:bCs w:val="0"/>
                <w:sz w:val="24"/>
                <w:szCs w:val="24"/>
                <w:highlight w:val="none"/>
                <w:lang w:val="en-US" w:eastAsia="zh-CN"/>
              </w:rPr>
              <w:t>台</w:t>
            </w:r>
            <w:r>
              <w:rPr>
                <w:rFonts w:hint="eastAsia" w:ascii="宋体" w:hAnsi="宋体" w:cs="宋体"/>
                <w:bCs w:val="0"/>
                <w:sz w:val="24"/>
                <w:szCs w:val="24"/>
                <w:highlight w:val="none"/>
              </w:rPr>
              <w:t>开放所有数据的只读权限，提供数据字典文档。</w:t>
            </w:r>
            <w:r>
              <w:rPr>
                <w:rFonts w:hint="eastAsia" w:ascii="宋体" w:hAnsi="宋体" w:cs="宋体"/>
                <w:bCs w:val="0"/>
                <w:color w:val="FF0000"/>
                <w:sz w:val="24"/>
                <w:szCs w:val="24"/>
                <w:highlight w:val="none"/>
                <w:lang w:val="en-US" w:eastAsia="zh-CN"/>
              </w:rPr>
              <w:t>按照学校需要供应商免费开展数据治理和数据集成。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3DB786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522D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428" w:type="pct"/>
            <w:vMerge w:val="continue"/>
            <w:tcBorders>
              <w:bottom w:val="single" w:color="auto" w:sz="4" w:space="0"/>
            </w:tcBorders>
            <w:vAlign w:val="center"/>
          </w:tcPr>
          <w:p w14:paraId="358EB9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tcBorders>
              <w:bottom w:val="single" w:color="auto" w:sz="4" w:space="0"/>
            </w:tcBorders>
            <w:vAlign w:val="center"/>
          </w:tcPr>
          <w:p w14:paraId="691424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</w:tcPr>
          <w:p w14:paraId="29485D0D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支持在IPv6网络环境下运行。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6C151A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3ABE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428" w:type="pct"/>
            <w:vAlign w:val="center"/>
          </w:tcPr>
          <w:p w14:paraId="23B9E4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557" w:type="pct"/>
            <w:vAlign w:val="center"/>
          </w:tcPr>
          <w:p w14:paraId="1C4193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系统开放性</w:t>
            </w:r>
          </w:p>
        </w:tc>
        <w:tc>
          <w:tcPr>
            <w:tcW w:w="3588" w:type="pct"/>
            <w:tcBorders>
              <w:bottom w:val="single" w:color="auto" w:sz="4" w:space="0"/>
            </w:tcBorders>
          </w:tcPr>
          <w:p w14:paraId="5C83A6C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以API或 WebService方式，供其他系统访问该系统的数据。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1BEEB9D7">
            <w:pPr>
              <w:keepNext w:val="0"/>
              <w:keepLines w:val="0"/>
              <w:pageBreakBefore w:val="0"/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EB8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428" w:type="pct"/>
            <w:vMerge w:val="restart"/>
            <w:vAlign w:val="center"/>
          </w:tcPr>
          <w:p w14:paraId="022F00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557" w:type="pct"/>
            <w:vMerge w:val="restart"/>
            <w:vAlign w:val="center"/>
          </w:tcPr>
          <w:p w14:paraId="455C8B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使用许可</w:t>
            </w:r>
          </w:p>
        </w:tc>
        <w:tc>
          <w:tcPr>
            <w:tcW w:w="3588" w:type="pct"/>
            <w:tcBorders>
              <w:bottom w:val="single" w:color="auto" w:sz="4" w:space="0"/>
            </w:tcBorders>
          </w:tcPr>
          <w:p w14:paraId="77D463B4"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不能含有使招标方受约束的使用限制。系统不设License限制，若有License的产品需提供永久授权。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7A6FB3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6B2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428" w:type="pct"/>
            <w:vMerge w:val="continue"/>
            <w:vAlign w:val="center"/>
          </w:tcPr>
          <w:p w14:paraId="790831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2C8FBB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</w:tcPr>
          <w:p w14:paraId="026071A2"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不得使用软件狗（USB设备）进行授权。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6916DB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42A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428" w:type="pct"/>
            <w:vMerge w:val="continue"/>
            <w:tcBorders>
              <w:bottom w:val="single" w:color="auto" w:sz="4" w:space="0"/>
            </w:tcBorders>
            <w:vAlign w:val="center"/>
          </w:tcPr>
          <w:p w14:paraId="702A12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tcBorders>
              <w:bottom w:val="single" w:color="auto" w:sz="4" w:space="0"/>
            </w:tcBorders>
            <w:vAlign w:val="center"/>
          </w:tcPr>
          <w:p w14:paraId="79DDC7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</w:tcPr>
          <w:p w14:paraId="706013D1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不设用户数及并发数限制。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yellow"/>
              </w:rPr>
              <w:t>【备注：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highlight w:val="yellow"/>
                <w:lang w:val="en-US" w:eastAsia="zh-CN"/>
              </w:rPr>
              <w:t>如有用户并发限制，需具体说明</w:t>
            </w:r>
            <w:r>
              <w:rPr>
                <w:rFonts w:hint="eastAsia"/>
                <w:color w:val="FF0000"/>
                <w:highlight w:val="yellow"/>
                <w:lang w:val="en-US" w:eastAsia="zh-CN"/>
              </w:rPr>
              <w:t>】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4A0581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86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428" w:type="pct"/>
            <w:vMerge w:val="restart"/>
            <w:vAlign w:val="center"/>
          </w:tcPr>
          <w:p w14:paraId="6190C4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557" w:type="pct"/>
            <w:vMerge w:val="restart"/>
            <w:vAlign w:val="center"/>
          </w:tcPr>
          <w:p w14:paraId="7D4A57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所有权</w:t>
            </w:r>
          </w:p>
        </w:tc>
        <w:tc>
          <w:tcPr>
            <w:tcW w:w="3588" w:type="pct"/>
            <w:tcBorders>
              <w:bottom w:val="single" w:color="auto" w:sz="4" w:space="0"/>
            </w:tcBorders>
          </w:tcPr>
          <w:p w14:paraId="2BA5CB06">
            <w:pPr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除已有的系统模块外，本次采购所定制开发产生的源代码、相关文档和软件著作权应归属暨南大学。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73031A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074B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428" w:type="pct"/>
            <w:vMerge w:val="continue"/>
            <w:tcBorders>
              <w:bottom w:val="single" w:color="auto" w:sz="4" w:space="0"/>
            </w:tcBorders>
            <w:vAlign w:val="center"/>
          </w:tcPr>
          <w:p w14:paraId="6655C5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tcBorders>
              <w:bottom w:val="single" w:color="auto" w:sz="4" w:space="0"/>
            </w:tcBorders>
            <w:vAlign w:val="center"/>
          </w:tcPr>
          <w:p w14:paraId="08A406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</w:tcPr>
          <w:p w14:paraId="5C5326A1">
            <w:pPr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系统生产的数据所有权应归属暨南大学。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67F662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0BBC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Merge w:val="restart"/>
            <w:vAlign w:val="center"/>
          </w:tcPr>
          <w:p w14:paraId="354454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557" w:type="pct"/>
            <w:vMerge w:val="restart"/>
            <w:vAlign w:val="center"/>
          </w:tcPr>
          <w:p w14:paraId="4C44F5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信息安全需求</w:t>
            </w: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6106F9A3">
            <w:pPr>
              <w:numPr>
                <w:ilvl w:val="0"/>
                <w:numId w:val="0"/>
              </w:numPr>
              <w:tabs>
                <w:tab w:val="left" w:pos="425"/>
              </w:tabs>
              <w:spacing w:line="360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系统必须满足</w:t>
            </w:r>
            <w:r>
              <w:rPr>
                <w:rFonts w:hint="eastAsia" w:ascii="宋体" w:hAnsi="宋体" w:cs="宋体"/>
                <w:sz w:val="24"/>
                <w:szCs w:val="24"/>
                <w:highlight w:val="yellow"/>
                <w:u w:val="single"/>
                <w:lang w:val="en-US" w:eastAsia="zh-CN"/>
              </w:rPr>
              <w:t>XXX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等级的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安全等级保护要求，不符合要求者整改至符合要求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sz w:val="24"/>
                <w:szCs w:val="24"/>
              </w:rPr>
              <w:t>学校在对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该系统安全等保评测时</w:t>
            </w:r>
            <w:r>
              <w:rPr>
                <w:rFonts w:hint="eastAsia" w:ascii="宋体" w:hAnsi="宋体" w:cs="宋体"/>
                <w:sz w:val="24"/>
                <w:szCs w:val="24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提供相应技术支持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软件系统相关的支撑材料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宋体" w:hAnsi="宋体" w:cs="宋体"/>
                <w:sz w:val="24"/>
                <w:szCs w:val="24"/>
              </w:rPr>
              <w:t>修补评测中发现的问题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32467802">
            <w:pPr>
              <w:numPr>
                <w:ilvl w:val="0"/>
                <w:numId w:val="0"/>
              </w:numPr>
              <w:tabs>
                <w:tab w:val="left" w:pos="425"/>
              </w:tabs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【备注：根据系统等级选择需求描述，其他可删除：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新建三级系统，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在验收前须完成1次第三方等保测评，1次商用密码测评，维保期内须完成每年1次的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第三方等保测评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费用由供应商承担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lang w:eastAsia="zh-CN"/>
              </w:rPr>
              <w:t>；</w:t>
            </w:r>
          </w:p>
          <w:p w14:paraId="5B8E1E73">
            <w:pPr>
              <w:numPr>
                <w:ilvl w:val="0"/>
                <w:numId w:val="0"/>
              </w:numPr>
              <w:tabs>
                <w:tab w:val="left" w:pos="425"/>
              </w:tabs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新建二级系统，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在验收前须完成1次第三方等保测评，维保期内须提供每2年1次的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第三方等保测评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费用由供应商承担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5年维保期2次，3年维保期1次）；</w:t>
            </w:r>
          </w:p>
          <w:p w14:paraId="77A8105F">
            <w:pPr>
              <w:numPr>
                <w:ilvl w:val="0"/>
                <w:numId w:val="0"/>
              </w:numPr>
              <w:tabs>
                <w:tab w:val="left" w:pos="425"/>
              </w:tabs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新建一级系统，供应商在验收前须提供由第三方软件测评机构出具的安全检测报告，费用由供应商承担；】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74F1D1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742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Merge w:val="continue"/>
            <w:vAlign w:val="center"/>
          </w:tcPr>
          <w:p w14:paraId="240BA7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3DEEBA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0487A44C">
            <w:pPr>
              <w:tabs>
                <w:tab w:val="left" w:pos="425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采购第三方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云服务</w:t>
            </w:r>
            <w:r>
              <w:rPr>
                <w:rFonts w:hint="eastAsia" w:ascii="宋体" w:hAnsi="宋体" w:cs="宋体"/>
                <w:sz w:val="24"/>
                <w:szCs w:val="24"/>
              </w:rPr>
              <w:t>软件，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云软件服务商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至少二级以上</w:t>
            </w:r>
            <w:r>
              <w:rPr>
                <w:rFonts w:hint="eastAsia" w:ascii="宋体" w:hAnsi="宋体" w:cs="宋体"/>
                <w:sz w:val="24"/>
                <w:szCs w:val="24"/>
              </w:rPr>
              <w:t>等保测评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通过</w:t>
            </w:r>
            <w:r>
              <w:rPr>
                <w:rFonts w:hint="eastAsia" w:ascii="宋体" w:hAnsi="宋体" w:cs="宋体"/>
                <w:sz w:val="24"/>
                <w:szCs w:val="24"/>
              </w:rPr>
              <w:t>材料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【备注：若无此需求可删除此参数】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46C138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DBB6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Merge w:val="continue"/>
            <w:vAlign w:val="center"/>
          </w:tcPr>
          <w:p w14:paraId="7764B3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39663D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38F9656B">
            <w:pPr>
              <w:tabs>
                <w:tab w:val="left" w:pos="425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．系统建设必须符合我国相关部门制订的标准，对安全策略、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口令</w:t>
            </w:r>
            <w:r>
              <w:rPr>
                <w:rFonts w:hint="eastAsia" w:ascii="宋体" w:hAnsi="宋体" w:cs="宋体"/>
                <w:sz w:val="24"/>
                <w:szCs w:val="24"/>
              </w:rPr>
              <w:t>与安全设备选用、网络互联、安全管理等必须符合我国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网络安全法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》《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数据安全法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》《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密码法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》《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个人信息保护法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》《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互联网政务应用安全管理规定》等信息安全法律法规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1430A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17F2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Merge w:val="continue"/>
            <w:vAlign w:val="center"/>
          </w:tcPr>
          <w:p w14:paraId="7B6FC2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42872A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708BC80D">
            <w:pPr>
              <w:tabs>
                <w:tab w:val="left" w:pos="425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</w:rPr>
              <w:t>．确保应用系统源代码安全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</w:rPr>
              <w:t>无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中高危</w:t>
            </w:r>
            <w:r>
              <w:rPr>
                <w:rFonts w:hint="eastAsia" w:ascii="宋体" w:hAnsi="宋体" w:cs="宋体"/>
                <w:sz w:val="24"/>
                <w:szCs w:val="24"/>
              </w:rPr>
              <w:t>漏洞，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不得保存到公有云代码平台</w:t>
            </w:r>
            <w:r>
              <w:rPr>
                <w:rFonts w:hint="eastAsia" w:ascii="宋体" w:hAnsi="宋体" w:cs="宋体"/>
                <w:sz w:val="24"/>
                <w:szCs w:val="24"/>
              </w:rPr>
              <w:t>；提供数据加密机制，确保数据存储和数据传输安全；提供明晰的身份鉴别和访问控制机制，按业务要求实现功能分级，并对用户分级授权。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511148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800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Merge w:val="continue"/>
            <w:vAlign w:val="center"/>
          </w:tcPr>
          <w:p w14:paraId="77EA31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598BA0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68524195">
            <w:pPr>
              <w:tabs>
                <w:tab w:val="left" w:pos="425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</w:rPr>
              <w:t>．满足学校的安全管理要求（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可信认证、</w:t>
            </w:r>
            <w:r>
              <w:rPr>
                <w:rFonts w:hint="eastAsia" w:ascii="宋体" w:hAnsi="宋体" w:cs="宋体"/>
                <w:sz w:val="24"/>
                <w:szCs w:val="24"/>
              </w:rPr>
              <w:t>WAF、VPN、防火墙、堡垒机等）。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使用学校漏洞扫描工具每年</w:t>
            </w:r>
            <w:r>
              <w:rPr>
                <w:rFonts w:hint="eastAsia" w:ascii="宋体" w:hAnsi="宋体" w:cs="宋体"/>
                <w:sz w:val="24"/>
                <w:szCs w:val="24"/>
              </w:rPr>
              <w:t>进行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至少2次</w:t>
            </w:r>
            <w:r>
              <w:rPr>
                <w:rFonts w:hint="eastAsia" w:ascii="宋体" w:hAnsi="宋体" w:cs="宋体"/>
                <w:sz w:val="24"/>
                <w:szCs w:val="24"/>
              </w:rPr>
              <w:t>信息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系统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安全风险评估，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出具无中高危漏洞扫描报告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配合学校做好相应的现场检查，应急演练和攻防演练。每年需配合学校开展至少1次渗透测试或补丁验证。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179A0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5574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Merge w:val="continue"/>
            <w:vAlign w:val="center"/>
          </w:tcPr>
          <w:p w14:paraId="56F52E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7DA601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3A245BB2">
            <w:pPr>
              <w:tabs>
                <w:tab w:val="left" w:pos="425"/>
              </w:tabs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6.系统上线前须满足以下安全检测：</w:t>
            </w:r>
          </w:p>
          <w:p w14:paraId="71B27F3B">
            <w:pPr>
              <w:tabs>
                <w:tab w:val="left" w:pos="425"/>
              </w:tabs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（1）漏洞扫描：提供系统无中高危漏洞扫描报告；</w:t>
            </w:r>
          </w:p>
          <w:p w14:paraId="56A73148">
            <w:pPr>
              <w:tabs>
                <w:tab w:val="left" w:pos="425"/>
              </w:tabs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（2）服务器配置核查：开展服务器安全核查检测，落实不合规项整改；</w:t>
            </w:r>
          </w:p>
          <w:p w14:paraId="439B823B">
            <w:pPr>
              <w:tabs>
                <w:tab w:val="left" w:pos="425"/>
              </w:tabs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（3）日志接入：服务器所有日志，包括但不限于（操作系统日志、应用程序日志、安全日志）通过 syslog 协议统一接入学校日志中心；</w:t>
            </w:r>
          </w:p>
          <w:p w14:paraId="64BDF8BC">
            <w:pPr>
              <w:tabs>
                <w:tab w:val="left" w:pos="425"/>
              </w:tabs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（4）服务器木马后门检测：对服务器开展全面扫描，排查及清理疑似存在的风险文件；</w:t>
            </w:r>
          </w:p>
          <w:p w14:paraId="2C5DD37F">
            <w:pPr>
              <w:tabs>
                <w:tab w:val="left" w:pos="425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（5）服务器需通过SNMP、安装客户端或SSH等方式纳入学校统一监控。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19E23D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29E4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Merge w:val="continue"/>
            <w:vAlign w:val="center"/>
          </w:tcPr>
          <w:p w14:paraId="78A007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5886C5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6EE7392C">
            <w:pPr>
              <w:numPr>
                <w:ilvl w:val="0"/>
                <w:numId w:val="6"/>
              </w:numPr>
              <w:tabs>
                <w:tab w:val="left" w:pos="425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服务器需按要求安装EDR防病毒杀毒软件，提升日常安全防护能力。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1D30E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275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Merge w:val="continue"/>
            <w:vAlign w:val="center"/>
          </w:tcPr>
          <w:p w14:paraId="266BFC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47EFA3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21656C84">
            <w:pPr>
              <w:tabs>
                <w:tab w:val="left" w:pos="425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 w:val="24"/>
                <w:szCs w:val="24"/>
              </w:rPr>
              <w:t>．系统具备日志跟踪与分析功能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</w:rPr>
              <w:t>记录用户帐号、操作和时间等，提供访问、修改、删除等的用户操作日志，提供丰富的查询方式，供追溯和追责。系统运行日志和用户操作日志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具备审计机制，留存时间不少于一年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24F20F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07F4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Merge w:val="continue"/>
            <w:vAlign w:val="center"/>
          </w:tcPr>
          <w:p w14:paraId="7C45D3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57CACF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3842AF51">
            <w:pPr>
              <w:tabs>
                <w:tab w:val="left" w:pos="425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 w:val="24"/>
                <w:szCs w:val="24"/>
              </w:rPr>
              <w:t>．提供错误日志，程序错处，数据库需要有相应记录。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3760B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2844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Merge w:val="continue"/>
            <w:vAlign w:val="center"/>
          </w:tcPr>
          <w:p w14:paraId="2812BE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5D3F17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75025D36">
            <w:pPr>
              <w:tabs>
                <w:tab w:val="left" w:pos="425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支持安装暨南大学数字证书，支持https方式部署。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5DFE4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E1F9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Merge w:val="continue"/>
            <w:vAlign w:val="center"/>
          </w:tcPr>
          <w:p w14:paraId="509E5F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7D0E76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5A568F60">
            <w:pPr>
              <w:numPr>
                <w:ilvl w:val="0"/>
                <w:numId w:val="7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供应商需提供《网络安全事件和生产运维事件的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应急预案》，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根据应急预案，迅速采取应对措施，确保事件及时上报和有效处置。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5E07FB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883D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Merge w:val="continue"/>
            <w:vAlign w:val="center"/>
          </w:tcPr>
          <w:p w14:paraId="34FAB3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1DFDEE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tcBorders>
              <w:bottom w:val="single" w:color="auto" w:sz="4" w:space="0"/>
            </w:tcBorders>
            <w:vAlign w:val="center"/>
          </w:tcPr>
          <w:p w14:paraId="40F08EB3">
            <w:pPr>
              <w:numPr>
                <w:ilvl w:val="0"/>
                <w:numId w:val="0"/>
              </w:numPr>
              <w:tabs>
                <w:tab w:val="left" w:pos="425"/>
              </w:tabs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12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为保证供应链安全，供应商须按要求满足以下条件：</w:t>
            </w:r>
          </w:p>
          <w:p w14:paraId="7810938B">
            <w:pPr>
              <w:numPr>
                <w:ilvl w:val="0"/>
                <w:numId w:val="8"/>
              </w:numPr>
              <w:tabs>
                <w:tab w:val="left" w:pos="425"/>
              </w:tabs>
              <w:spacing w:line="360" w:lineRule="auto"/>
              <w:ind w:leftChars="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供应商须开展供应链安全建设，包含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源代码管理、人员管理，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验收时须提供《产品供应链合规性承诺函》；</w:t>
            </w:r>
          </w:p>
          <w:p w14:paraId="2B503BDE">
            <w:pPr>
              <w:numPr>
                <w:ilvl w:val="0"/>
                <w:numId w:val="8"/>
              </w:numPr>
              <w:tabs>
                <w:tab w:val="left" w:pos="425"/>
              </w:tabs>
              <w:spacing w:line="360" w:lineRule="auto"/>
              <w:ind w:left="0"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驻场工程师须按要求签订保密承诺函，无犯罪记录。</w:t>
            </w:r>
          </w:p>
        </w:tc>
        <w:tc>
          <w:tcPr>
            <w:tcW w:w="426" w:type="pct"/>
            <w:tcBorders>
              <w:bottom w:val="single" w:color="auto" w:sz="4" w:space="0"/>
            </w:tcBorders>
            <w:vAlign w:val="center"/>
          </w:tcPr>
          <w:p w14:paraId="28B895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57B1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Merge w:val="restart"/>
            <w:vAlign w:val="center"/>
          </w:tcPr>
          <w:p w14:paraId="7F1C04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pct"/>
            <w:vMerge w:val="restart"/>
            <w:vAlign w:val="center"/>
          </w:tcPr>
          <w:p w14:paraId="64E1DC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数据安全</w:t>
            </w:r>
          </w:p>
        </w:tc>
        <w:tc>
          <w:tcPr>
            <w:tcW w:w="3588" w:type="pct"/>
            <w:vAlign w:val="center"/>
          </w:tcPr>
          <w:p w14:paraId="0EC1702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未经招标方许可，不允许将数据复制到校园网外的环境中。</w:t>
            </w:r>
          </w:p>
        </w:tc>
        <w:tc>
          <w:tcPr>
            <w:tcW w:w="426" w:type="pct"/>
            <w:vAlign w:val="center"/>
          </w:tcPr>
          <w:p w14:paraId="66BDA54E">
            <w:pPr>
              <w:keepNext w:val="0"/>
              <w:keepLines w:val="0"/>
              <w:pageBreakBefore w:val="0"/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439A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Merge w:val="continue"/>
            <w:vAlign w:val="center"/>
          </w:tcPr>
          <w:p w14:paraId="3EF5CC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44F233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vAlign w:val="center"/>
          </w:tcPr>
          <w:p w14:paraId="36ED91F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2.根据学校数据安全要求，接入学校数据库审计系统。</w:t>
            </w:r>
          </w:p>
        </w:tc>
        <w:tc>
          <w:tcPr>
            <w:tcW w:w="426" w:type="pct"/>
            <w:vAlign w:val="center"/>
          </w:tcPr>
          <w:p w14:paraId="610D3956">
            <w:pPr>
              <w:keepNext w:val="0"/>
              <w:keepLines w:val="0"/>
              <w:pageBreakBefore w:val="0"/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1031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Merge w:val="continue"/>
            <w:vAlign w:val="center"/>
          </w:tcPr>
          <w:p w14:paraId="20BE1A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071ECD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  <w:vAlign w:val="center"/>
          </w:tcPr>
          <w:p w14:paraId="6A80286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3.定期进行</w:t>
            </w:r>
            <w:r>
              <w:rPr>
                <w:rFonts w:hint="eastAsia" w:ascii="宋体" w:hAnsi="宋体" w:cs="宋体"/>
                <w:sz w:val="24"/>
                <w:szCs w:val="24"/>
                <w:highlight w:val="yellow"/>
                <w:u w:val="single"/>
                <w:lang w:val="en-US" w:eastAsia="zh-CN"/>
              </w:rPr>
              <w:t>（全量/增量）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数据备份，频率至少为</w:t>
            </w:r>
            <w:r>
              <w:rPr>
                <w:rFonts w:hint="eastAsia" w:ascii="宋体" w:hAnsi="宋体" w:cs="宋体"/>
                <w:sz w:val="24"/>
                <w:szCs w:val="24"/>
                <w:highlight w:val="yellow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一次，并根据业务关键性调整。</w:t>
            </w:r>
          </w:p>
        </w:tc>
        <w:tc>
          <w:tcPr>
            <w:tcW w:w="426" w:type="pct"/>
            <w:vAlign w:val="center"/>
          </w:tcPr>
          <w:p w14:paraId="1BA46EDA">
            <w:pPr>
              <w:keepNext w:val="0"/>
              <w:keepLines w:val="0"/>
              <w:pageBreakBefore w:val="0"/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F9E2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Merge w:val="restart"/>
            <w:vAlign w:val="center"/>
          </w:tcPr>
          <w:p w14:paraId="1E5C12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557" w:type="pct"/>
            <w:vMerge w:val="restart"/>
            <w:vAlign w:val="center"/>
          </w:tcPr>
          <w:p w14:paraId="784ED3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性能需求</w:t>
            </w:r>
          </w:p>
        </w:tc>
        <w:tc>
          <w:tcPr>
            <w:tcW w:w="3588" w:type="pct"/>
          </w:tcPr>
          <w:p w14:paraId="36A43FC5"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bidi w:val="0"/>
              <w:spacing w:line="360" w:lineRule="auto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在资源（CPU占用率、内存使用率、磁盘I/O、网络I/O）充足的情况下，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highlight w:val="yellow"/>
                <w:lang w:val="en-US" w:eastAsia="zh-CN"/>
              </w:rPr>
              <w:t>XXX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场景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highlight w:val="yellow"/>
                <w:lang w:val="en-US" w:eastAsia="zh-CN"/>
              </w:rPr>
              <w:t>XXX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用户并发平均响应时间应≤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highlight w:val="yellow"/>
                <w:lang w:val="en-US" w:eastAsia="zh-CN"/>
              </w:rPr>
              <w:t>X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秒，事务通过率≥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highlight w:val="yellow"/>
                <w:lang w:val="en-US" w:eastAsia="zh-CN"/>
              </w:rPr>
              <w:t>XX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%。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yellow"/>
              </w:rPr>
              <w:t>【备注：</w:t>
            </w:r>
            <w:r>
              <w:rPr>
                <w:rFonts w:hint="eastAsia" w:ascii="宋体" w:hAnsi="宋体" w:cs="宋体"/>
                <w:color w:val="FF0000"/>
                <w:sz w:val="24"/>
                <w:highlight w:val="yellow"/>
              </w:rPr>
              <w:t>需根据实际需求评估和调整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highlight w:val="yellow"/>
              </w:rPr>
              <w:t>】</w:t>
            </w:r>
          </w:p>
        </w:tc>
        <w:tc>
          <w:tcPr>
            <w:tcW w:w="426" w:type="pct"/>
            <w:vAlign w:val="center"/>
          </w:tcPr>
          <w:p w14:paraId="73377EE4">
            <w:pPr>
              <w:keepNext w:val="0"/>
              <w:keepLines w:val="0"/>
              <w:pageBreakBefore w:val="0"/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B73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Merge w:val="continue"/>
            <w:vAlign w:val="center"/>
          </w:tcPr>
          <w:p w14:paraId="25C1EE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0D5A8C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</w:tcPr>
          <w:p w14:paraId="48200407">
            <w:pPr>
              <w:keepNext w:val="0"/>
              <w:keepLines w:val="0"/>
              <w:pageBreakBefore w:val="0"/>
              <w:numPr>
                <w:ilvl w:val="0"/>
                <w:numId w:val="10"/>
              </w:numPr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要在系统设计范围内保证随着系统数据量的增加，系统性能不出现显著下降。</w:t>
            </w:r>
          </w:p>
        </w:tc>
        <w:tc>
          <w:tcPr>
            <w:tcW w:w="426" w:type="pct"/>
            <w:vAlign w:val="center"/>
          </w:tcPr>
          <w:p w14:paraId="580F59E8">
            <w:pPr>
              <w:keepNext w:val="0"/>
              <w:keepLines w:val="0"/>
              <w:pageBreakBefore w:val="0"/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5EAA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Align w:val="center"/>
          </w:tcPr>
          <w:p w14:paraId="2220B5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557" w:type="pct"/>
            <w:vAlign w:val="center"/>
          </w:tcPr>
          <w:p w14:paraId="4A2BE4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浏览器兼容性</w:t>
            </w:r>
          </w:p>
        </w:tc>
        <w:tc>
          <w:tcPr>
            <w:tcW w:w="3588" w:type="pct"/>
          </w:tcPr>
          <w:p w14:paraId="167C14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系统须支持目前包括搜狗浏览器、360浏览器、QQ浏览器、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F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irefox、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hrome、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S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afari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Edge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auto"/>
              </w:rPr>
              <w:t>360安全浏览器（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auto"/>
                <w:lang w:val="en-US" w:eastAsia="zh-CN"/>
              </w:rPr>
              <w:t>国产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auto"/>
              </w:rPr>
              <w:t>版）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夸克浏览器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等主流浏览器。</w:t>
            </w:r>
          </w:p>
        </w:tc>
        <w:tc>
          <w:tcPr>
            <w:tcW w:w="426" w:type="pct"/>
            <w:vAlign w:val="center"/>
          </w:tcPr>
          <w:p w14:paraId="26D3EF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0234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Align w:val="center"/>
          </w:tcPr>
          <w:p w14:paraId="728443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557" w:type="pct"/>
            <w:vAlign w:val="center"/>
          </w:tcPr>
          <w:p w14:paraId="7FC1F7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文档需求</w:t>
            </w:r>
          </w:p>
        </w:tc>
        <w:tc>
          <w:tcPr>
            <w:tcW w:w="3588" w:type="pct"/>
            <w:vAlign w:val="center"/>
          </w:tcPr>
          <w:p w14:paraId="27EEC2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具备完整的技术文档，包括但不限于项目计划、软件功能需求说明书、系统操作手册、测试计划、测试报告、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用户操作手册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、源代码和运行维护手册。</w:t>
            </w:r>
          </w:p>
        </w:tc>
        <w:tc>
          <w:tcPr>
            <w:tcW w:w="426" w:type="pct"/>
            <w:vAlign w:val="center"/>
          </w:tcPr>
          <w:p w14:paraId="0A5E58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AEEB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28" w:type="pct"/>
            <w:vMerge w:val="restart"/>
            <w:vAlign w:val="center"/>
          </w:tcPr>
          <w:p w14:paraId="382E0D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557" w:type="pct"/>
            <w:vMerge w:val="restart"/>
            <w:vAlign w:val="center"/>
          </w:tcPr>
          <w:p w14:paraId="6F4BFF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维保与培训服务</w:t>
            </w:r>
          </w:p>
        </w:tc>
        <w:tc>
          <w:tcPr>
            <w:tcW w:w="3588" w:type="pct"/>
          </w:tcPr>
          <w:p w14:paraId="680B8A03"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 w:rightChars="0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厂家派遣</w:t>
            </w:r>
            <w:r>
              <w:rPr>
                <w:rFonts w:hint="eastAsia" w:cs="宋体"/>
                <w:color w:val="FF0000"/>
                <w:kern w:val="2"/>
                <w:sz w:val="24"/>
                <w:szCs w:val="24"/>
                <w:highlight w:val="yellow"/>
                <w:lang w:val="en-US" w:eastAsia="zh-CN" w:bidi="ar-SA"/>
              </w:rPr>
              <w:t>X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人月的工程师驻场服务。（日常巡检要求、故障处理要求、人员资质）。</w:t>
            </w:r>
          </w:p>
        </w:tc>
        <w:tc>
          <w:tcPr>
            <w:tcW w:w="426" w:type="pct"/>
            <w:vAlign w:val="center"/>
          </w:tcPr>
          <w:p w14:paraId="448BD497">
            <w:pPr>
              <w:keepNext w:val="0"/>
              <w:keepLines w:val="0"/>
              <w:pageBreakBefore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7BD2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428" w:type="pct"/>
            <w:vMerge w:val="continue"/>
            <w:vAlign w:val="center"/>
          </w:tcPr>
          <w:p w14:paraId="4314A2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6C96CA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588" w:type="pct"/>
          </w:tcPr>
          <w:p w14:paraId="5FE32D7F"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right="0" w:rightChars="0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提供不少于</w:t>
            </w:r>
            <w:r>
              <w:rPr>
                <w:rFonts w:hint="eastAsia" w:cs="宋体"/>
                <w:color w:val="FF0000"/>
                <w:kern w:val="2"/>
                <w:sz w:val="24"/>
                <w:szCs w:val="24"/>
                <w:highlight w:val="yellow"/>
                <w:lang w:val="en-US" w:eastAsia="zh-CN" w:bidi="ar-SA"/>
              </w:rPr>
              <w:t>X</w:t>
            </w:r>
            <w:r>
              <w:rPr>
                <w:rFonts w:hint="eastAsia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天培训。</w:t>
            </w:r>
          </w:p>
        </w:tc>
        <w:tc>
          <w:tcPr>
            <w:tcW w:w="426" w:type="pct"/>
            <w:vAlign w:val="center"/>
          </w:tcPr>
          <w:p w14:paraId="15AD1CC9">
            <w:pPr>
              <w:keepNext w:val="0"/>
              <w:keepLines w:val="0"/>
              <w:pageBreakBefore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FCFF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428" w:type="pct"/>
            <w:vMerge w:val="continue"/>
            <w:vAlign w:val="center"/>
          </w:tcPr>
          <w:p w14:paraId="72033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4A8085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588" w:type="pct"/>
          </w:tcPr>
          <w:p w14:paraId="1169FB38">
            <w:pPr>
              <w:keepNext w:val="0"/>
              <w:keepLines w:val="0"/>
              <w:pageBreakBefore w:val="0"/>
              <w:numPr>
                <w:ilvl w:val="0"/>
                <w:numId w:val="11"/>
              </w:numPr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厂家指派项目负责人提供维保期间的驻场技术服务</w:t>
            </w:r>
            <w:r>
              <w:rPr>
                <w:rFonts w:hint="eastAsia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。</w:t>
            </w:r>
          </w:p>
        </w:tc>
        <w:tc>
          <w:tcPr>
            <w:tcW w:w="426" w:type="pct"/>
            <w:vAlign w:val="center"/>
          </w:tcPr>
          <w:p w14:paraId="4CF36153">
            <w:pPr>
              <w:keepNext w:val="0"/>
              <w:keepLines w:val="0"/>
              <w:pageBreakBefore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66E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Merge w:val="continue"/>
            <w:vAlign w:val="center"/>
          </w:tcPr>
          <w:p w14:paraId="4081DB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2C5645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outlineLvl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588" w:type="pct"/>
          </w:tcPr>
          <w:p w14:paraId="02537452">
            <w:pPr>
              <w:keepNext w:val="0"/>
              <w:keepLines w:val="0"/>
              <w:pageBreakBefore w:val="0"/>
              <w:numPr>
                <w:ilvl w:val="0"/>
                <w:numId w:val="11"/>
              </w:numPr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依据学校的实际情况，协商制定切实可行的完整培训计划,采用集中培训与专项指导两种方式，为用户免费培训使用与维护软件的有关技术人员，包括系统管理员一名、操作员若干名。</w:t>
            </w:r>
          </w:p>
        </w:tc>
        <w:tc>
          <w:tcPr>
            <w:tcW w:w="426" w:type="pct"/>
            <w:vAlign w:val="center"/>
          </w:tcPr>
          <w:p w14:paraId="2F49ACD3">
            <w:pPr>
              <w:keepNext w:val="0"/>
              <w:keepLines w:val="0"/>
              <w:pageBreakBefore w:val="0"/>
              <w:tabs>
                <w:tab w:val="left" w:pos="42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32F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vMerge w:val="continue"/>
            <w:vAlign w:val="center"/>
          </w:tcPr>
          <w:p w14:paraId="170F0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7" w:type="pct"/>
            <w:vMerge w:val="continue"/>
            <w:vAlign w:val="center"/>
          </w:tcPr>
          <w:p w14:paraId="6E68D4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outlineLvl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588" w:type="pct"/>
          </w:tcPr>
          <w:p w14:paraId="07A0C8B8">
            <w:pPr>
              <w:keepNext w:val="0"/>
              <w:keepLines w:val="0"/>
              <w:pageBreakBefore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承诺针对提供的内容给予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年免费系统运维服务。服务期从项目验收合格之日起，供应商应在项目建设地有本地服务团队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;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或者承诺在项目服务期内，提供原厂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。在服务期间遇到必须现场修复的问题时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及时到项目现场处理。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维保服务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包括但不限于产品的故障诊断、维修指导及性能优化建议。系统运维服务具体指（但不局限如下）：工作日内的远程电话协助（重点客户服务热线）、系统重大故障的客户现场支持（2小时内响应至现场）、当前版本内的各种系统补丁，安全补丁等升级、当前版本内的各种BUG修复及其他形式的维保服务。</w:t>
            </w:r>
          </w:p>
        </w:tc>
        <w:tc>
          <w:tcPr>
            <w:tcW w:w="426" w:type="pct"/>
            <w:vAlign w:val="center"/>
          </w:tcPr>
          <w:p w14:paraId="1680D4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F6F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28" w:type="pct"/>
            <w:tcBorders>
              <w:bottom w:val="single" w:color="auto" w:sz="4" w:space="0"/>
            </w:tcBorders>
            <w:vAlign w:val="center"/>
          </w:tcPr>
          <w:p w14:paraId="00F33F0D">
            <w:pPr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557" w:type="pct"/>
            <w:tcBorders>
              <w:bottom w:val="single" w:color="auto" w:sz="4" w:space="0"/>
            </w:tcBorders>
            <w:vAlign w:val="center"/>
          </w:tcPr>
          <w:p w14:paraId="7C72DDDD"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验收</w:t>
            </w:r>
          </w:p>
          <w:p w14:paraId="309F66DC"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要求</w:t>
            </w:r>
          </w:p>
        </w:tc>
        <w:tc>
          <w:tcPr>
            <w:tcW w:w="3588" w:type="pct"/>
          </w:tcPr>
          <w:p w14:paraId="455D3DBE"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项目验收时需提供国家认证资质（CMA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CNAS）的检测机构出具的第三方测试报告，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需包含功能测试、性能测试，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且测评结果应符合或优于甲方的安全与质量要求，期间产生的费用由供应商承担。</w:t>
            </w:r>
          </w:p>
        </w:tc>
        <w:tc>
          <w:tcPr>
            <w:tcW w:w="426" w:type="pct"/>
            <w:vAlign w:val="center"/>
          </w:tcPr>
          <w:p w14:paraId="6F5842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9AF9797">
      <w:pPr>
        <w:rPr>
          <w:rFonts w:hint="eastAsia" w:eastAsia="宋体"/>
          <w:lang w:eastAsia="zh-CN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4F33DA"/>
    <w:multiLevelType w:val="singleLevel"/>
    <w:tmpl w:val="A44F33DA"/>
    <w:lvl w:ilvl="0" w:tentative="0">
      <w:start w:val="14"/>
      <w:numFmt w:val="decimal"/>
      <w:suff w:val="space"/>
      <w:lvlText w:val="%1."/>
      <w:lvlJc w:val="left"/>
    </w:lvl>
  </w:abstractNum>
  <w:abstractNum w:abstractNumId="1">
    <w:nsid w:val="BBBF3240"/>
    <w:multiLevelType w:val="singleLevel"/>
    <w:tmpl w:val="BBBF324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F13F970"/>
    <w:multiLevelType w:val="singleLevel"/>
    <w:tmpl w:val="BF13F970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CC2520EB"/>
    <w:multiLevelType w:val="singleLevel"/>
    <w:tmpl w:val="CC2520EB"/>
    <w:lvl w:ilvl="0" w:tentative="0">
      <w:start w:val="4"/>
      <w:numFmt w:val="decimal"/>
      <w:suff w:val="space"/>
      <w:lvlText w:val="%1."/>
      <w:lvlJc w:val="left"/>
    </w:lvl>
  </w:abstractNum>
  <w:abstractNum w:abstractNumId="4">
    <w:nsid w:val="CC34AB30"/>
    <w:multiLevelType w:val="singleLevel"/>
    <w:tmpl w:val="CC34AB30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FBE85FDF"/>
    <w:multiLevelType w:val="singleLevel"/>
    <w:tmpl w:val="FBE85FDF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FCE65410"/>
    <w:multiLevelType w:val="singleLevel"/>
    <w:tmpl w:val="FCE65410"/>
    <w:lvl w:ilvl="0" w:tentative="0">
      <w:start w:val="7"/>
      <w:numFmt w:val="decimal"/>
      <w:suff w:val="space"/>
      <w:lvlText w:val="%1."/>
      <w:lvlJc w:val="left"/>
    </w:lvl>
  </w:abstractNum>
  <w:abstractNum w:abstractNumId="7">
    <w:nsid w:val="FF7F05A4"/>
    <w:multiLevelType w:val="singleLevel"/>
    <w:tmpl w:val="FF7F05A4"/>
    <w:lvl w:ilvl="0" w:tentative="0">
      <w:start w:val="11"/>
      <w:numFmt w:val="decimal"/>
      <w:suff w:val="space"/>
      <w:lvlText w:val="%1."/>
      <w:lvlJc w:val="left"/>
    </w:lvl>
  </w:abstractNum>
  <w:abstractNum w:abstractNumId="8">
    <w:nsid w:val="1945544F"/>
    <w:multiLevelType w:val="singleLevel"/>
    <w:tmpl w:val="1945544F"/>
    <w:lvl w:ilvl="0" w:tentative="0">
      <w:start w:val="2"/>
      <w:numFmt w:val="decimal"/>
      <w:suff w:val="space"/>
      <w:lvlText w:val="%1."/>
      <w:lvlJc w:val="left"/>
    </w:lvl>
  </w:abstractNum>
  <w:abstractNum w:abstractNumId="9">
    <w:nsid w:val="33ACA3EB"/>
    <w:multiLevelType w:val="singleLevel"/>
    <w:tmpl w:val="33ACA3EB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760084FF"/>
    <w:multiLevelType w:val="singleLevel"/>
    <w:tmpl w:val="760084FF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9"/>
  </w:num>
  <w:num w:numId="6">
    <w:abstractNumId w:val="6"/>
  </w:num>
  <w:num w:numId="7">
    <w:abstractNumId w:val="7"/>
  </w:num>
  <w:num w:numId="8">
    <w:abstractNumId w:val="2"/>
  </w:num>
  <w:num w:numId="9">
    <w:abstractNumId w:val="5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4YzE0MzViYTQ0NGVlNWExMWU5MGY2YjNmY2I2ZTAifQ=="/>
  </w:docVars>
  <w:rsids>
    <w:rsidRoot w:val="00BA1FEC"/>
    <w:rsid w:val="000028BA"/>
    <w:rsid w:val="00034646"/>
    <w:rsid w:val="00082212"/>
    <w:rsid w:val="000C2981"/>
    <w:rsid w:val="000D0FAA"/>
    <w:rsid w:val="000F620D"/>
    <w:rsid w:val="00125A1E"/>
    <w:rsid w:val="00160638"/>
    <w:rsid w:val="00190D31"/>
    <w:rsid w:val="001A5893"/>
    <w:rsid w:val="003E0642"/>
    <w:rsid w:val="003F50CE"/>
    <w:rsid w:val="00446EDF"/>
    <w:rsid w:val="00515BED"/>
    <w:rsid w:val="00557778"/>
    <w:rsid w:val="0057632F"/>
    <w:rsid w:val="00576624"/>
    <w:rsid w:val="00606DDA"/>
    <w:rsid w:val="0061126A"/>
    <w:rsid w:val="0066244A"/>
    <w:rsid w:val="00713D2B"/>
    <w:rsid w:val="007A487C"/>
    <w:rsid w:val="00844C53"/>
    <w:rsid w:val="00871C27"/>
    <w:rsid w:val="008A1DBF"/>
    <w:rsid w:val="00AD28A9"/>
    <w:rsid w:val="00AD5132"/>
    <w:rsid w:val="00B16240"/>
    <w:rsid w:val="00B3382D"/>
    <w:rsid w:val="00B729BE"/>
    <w:rsid w:val="00B87723"/>
    <w:rsid w:val="00BA1FEC"/>
    <w:rsid w:val="00CA5B8A"/>
    <w:rsid w:val="00CE6D7E"/>
    <w:rsid w:val="00CF14B7"/>
    <w:rsid w:val="00D60890"/>
    <w:rsid w:val="00DB46AC"/>
    <w:rsid w:val="00DC403D"/>
    <w:rsid w:val="00E01F9C"/>
    <w:rsid w:val="00E64B15"/>
    <w:rsid w:val="00F76D5D"/>
    <w:rsid w:val="02D23846"/>
    <w:rsid w:val="07EF326D"/>
    <w:rsid w:val="0DF6AA14"/>
    <w:rsid w:val="19A155B2"/>
    <w:rsid w:val="1F7775ED"/>
    <w:rsid w:val="1FA6155F"/>
    <w:rsid w:val="24D06407"/>
    <w:rsid w:val="2BD90607"/>
    <w:rsid w:val="30071F43"/>
    <w:rsid w:val="34FD6F49"/>
    <w:rsid w:val="38CD4139"/>
    <w:rsid w:val="3BFB2AE8"/>
    <w:rsid w:val="44464FB5"/>
    <w:rsid w:val="4C696D2F"/>
    <w:rsid w:val="590505AE"/>
    <w:rsid w:val="5D033585"/>
    <w:rsid w:val="5D3D511D"/>
    <w:rsid w:val="61C42ACA"/>
    <w:rsid w:val="6D062450"/>
    <w:rsid w:val="6DBAAF08"/>
    <w:rsid w:val="6F050048"/>
    <w:rsid w:val="6F5C7A07"/>
    <w:rsid w:val="72B6F64D"/>
    <w:rsid w:val="73D55FCB"/>
    <w:rsid w:val="7BFF2856"/>
    <w:rsid w:val="7D30465E"/>
    <w:rsid w:val="7DA655FD"/>
    <w:rsid w:val="7F3F40CF"/>
    <w:rsid w:val="7FDFE56C"/>
    <w:rsid w:val="7FE61E55"/>
    <w:rsid w:val="7FF7F529"/>
    <w:rsid w:val="9BF3C810"/>
    <w:rsid w:val="B98EF4D8"/>
    <w:rsid w:val="BE76B72C"/>
    <w:rsid w:val="BFBFC2AC"/>
    <w:rsid w:val="CBFEF6C4"/>
    <w:rsid w:val="CDFF4FB0"/>
    <w:rsid w:val="CFF7EA4D"/>
    <w:rsid w:val="D32C88CB"/>
    <w:rsid w:val="D7FB5E15"/>
    <w:rsid w:val="DEF6DB1F"/>
    <w:rsid w:val="E7E74762"/>
    <w:rsid w:val="F3E56361"/>
    <w:rsid w:val="F57D8128"/>
    <w:rsid w:val="F7CA6A12"/>
    <w:rsid w:val="FB7FBE4D"/>
    <w:rsid w:val="FCE6BFFE"/>
    <w:rsid w:val="FCF24100"/>
    <w:rsid w:val="FDE7AFB1"/>
    <w:rsid w:val="FEBA653E"/>
    <w:rsid w:val="FEFFEFEC"/>
    <w:rsid w:val="FFBD8662"/>
    <w:rsid w:val="FFF296F4"/>
    <w:rsid w:val="FFF7D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9">
    <w:name w:val="列表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4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3372</Words>
  <Characters>3556</Characters>
  <Lines>17</Lines>
  <Paragraphs>4</Paragraphs>
  <TotalTime>3</TotalTime>
  <ScaleCrop>false</ScaleCrop>
  <LinksUpToDate>false</LinksUpToDate>
  <CharactersWithSpaces>3583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2021-11-06T02:02:00Z</dcterms:created>
  <dc:creator>李 哲夫</dc:creator>
  <cp:lastModifiedBy>saffi</cp:lastModifiedBy>
  <dcterms:modified xsi:type="dcterms:W3CDTF">2026-04-03T09:51:47Z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F36D7FC8DAD040C1A708D3522A9DB4D9_13</vt:lpwstr>
  </property>
  <property fmtid="{D5CDD505-2E9C-101B-9397-08002B2CF9AE}" pid="4" name="KSOTemplateDocerSaveRecord">
    <vt:lpwstr>eyJoZGlkIjoiMDExMDQ1N2RhMzA5MWM5ODc0YjRhNDg4ZDlmNDI1MWIiLCJ1c2VySWQiOiI2MDM0NzM3MjQifQ==</vt:lpwstr>
  </property>
</Properties>
</file>